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AF" w:rsidRDefault="000E65AF" w:rsidP="000E65AF">
      <w:pPr>
        <w:jc w:val="center"/>
      </w:pPr>
      <w:r>
        <w:rPr>
          <w:noProof/>
          <w:lang w:eastAsia="fr-FR"/>
        </w:rPr>
        <w:drawing>
          <wp:inline distT="0" distB="0" distL="0" distR="0" wp14:anchorId="1388B72B" wp14:editId="7EE7A843">
            <wp:extent cx="2251710" cy="1245186"/>
            <wp:effectExtent l="0" t="0" r="0" b="0"/>
            <wp:docPr id="5" name="Image 5" descr="cid:image004.jpg@01D425C4.C88C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jpg@01D425C4.C88C69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11475" cy="1278236"/>
                    </a:xfrm>
                    <a:prstGeom prst="rect">
                      <a:avLst/>
                    </a:prstGeom>
                    <a:noFill/>
                    <a:ln>
                      <a:noFill/>
                    </a:ln>
                  </pic:spPr>
                </pic:pic>
              </a:graphicData>
            </a:graphic>
          </wp:inline>
        </w:drawing>
      </w:r>
    </w:p>
    <w:p w:rsidR="000E65AF" w:rsidRPr="000E65AF" w:rsidRDefault="000E65AF" w:rsidP="000E65AF">
      <w:pPr>
        <w:spacing w:after="200" w:line="276" w:lineRule="auto"/>
        <w:jc w:val="center"/>
        <w:rPr>
          <w:rFonts w:ascii="Constantia" w:hAnsi="Constantia" w:cs="Times New Roman"/>
          <w:b/>
          <w:bCs/>
          <w:i/>
          <w:iCs/>
          <w:color w:val="333399"/>
          <w:sz w:val="40"/>
          <w:szCs w:val="40"/>
          <w:u w:val="single"/>
          <w:lang w:eastAsia="fr-FR"/>
        </w:rPr>
      </w:pPr>
      <w:r w:rsidRPr="000E65AF">
        <w:rPr>
          <w:rFonts w:ascii="Constantia" w:hAnsi="Constantia" w:cs="Times New Roman"/>
          <w:b/>
          <w:bCs/>
          <w:i/>
          <w:iCs/>
          <w:color w:val="333399"/>
          <w:sz w:val="40"/>
          <w:szCs w:val="40"/>
          <w:u w:val="single"/>
          <w:lang w:eastAsia="fr-FR"/>
        </w:rPr>
        <w:t xml:space="preserve">OPERATION </w:t>
      </w:r>
      <w:r w:rsidRPr="000E65AF">
        <w:rPr>
          <w:rFonts w:ascii="Constantia" w:hAnsi="Constantia" w:cs="Times New Roman"/>
          <w:b/>
          <w:bCs/>
          <w:i/>
          <w:iCs/>
          <w:color w:val="2A002A"/>
          <w:sz w:val="40"/>
          <w:szCs w:val="40"/>
          <w:u w:val="single"/>
          <w:lang w:eastAsia="fr-FR"/>
        </w:rPr>
        <w:t>«</w:t>
      </w:r>
      <w:r w:rsidRPr="000E65AF">
        <w:rPr>
          <w:rFonts w:ascii="Constantia" w:hAnsi="Constantia" w:cs="Times New Roman"/>
          <w:b/>
          <w:bCs/>
          <w:i/>
          <w:iCs/>
          <w:color w:val="333399"/>
          <w:sz w:val="40"/>
          <w:szCs w:val="40"/>
          <w:u w:val="single"/>
          <w:lang w:eastAsia="fr-FR"/>
        </w:rPr>
        <w:t> </w:t>
      </w:r>
      <w:r w:rsidRPr="000E65AF">
        <w:rPr>
          <w:rFonts w:ascii="Constantia" w:hAnsi="Constantia" w:cs="Times New Roman"/>
          <w:b/>
          <w:bCs/>
          <w:i/>
          <w:iCs/>
          <w:color w:val="920000"/>
          <w:sz w:val="40"/>
          <w:szCs w:val="40"/>
          <w:u w:val="single"/>
          <w:lang w:eastAsia="fr-FR"/>
        </w:rPr>
        <w:t>KEBILI EXPORTE SES DATTES</w:t>
      </w:r>
      <w:r w:rsidRPr="000E65AF">
        <w:rPr>
          <w:rFonts w:ascii="Constantia" w:hAnsi="Constantia" w:cs="Times New Roman"/>
          <w:b/>
          <w:bCs/>
          <w:i/>
          <w:iCs/>
          <w:color w:val="333399"/>
          <w:sz w:val="40"/>
          <w:szCs w:val="40"/>
          <w:u w:val="single"/>
          <w:lang w:eastAsia="fr-FR"/>
        </w:rPr>
        <w:t> </w:t>
      </w:r>
      <w:r w:rsidRPr="000E65AF">
        <w:rPr>
          <w:rFonts w:ascii="Constantia" w:hAnsi="Constantia" w:cs="Times New Roman"/>
          <w:b/>
          <w:bCs/>
          <w:i/>
          <w:iCs/>
          <w:color w:val="2A002A"/>
          <w:sz w:val="40"/>
          <w:szCs w:val="40"/>
          <w:u w:val="single"/>
          <w:lang w:eastAsia="fr-FR"/>
        </w:rPr>
        <w:t>»</w:t>
      </w:r>
    </w:p>
    <w:p w:rsidR="000E65AF" w:rsidRPr="000E65AF" w:rsidRDefault="000E65AF" w:rsidP="000E65AF">
      <w:pPr>
        <w:spacing w:after="0" w:line="240" w:lineRule="auto"/>
        <w:jc w:val="center"/>
        <w:rPr>
          <w:rFonts w:ascii="Constantia" w:hAnsi="Constantia" w:cs="Times New Roman"/>
          <w:b/>
          <w:bCs/>
          <w:color w:val="333399"/>
          <w:sz w:val="26"/>
          <w:szCs w:val="26"/>
          <w:u w:val="single"/>
        </w:rPr>
      </w:pPr>
      <w:r w:rsidRPr="000E65AF">
        <w:rPr>
          <w:rFonts w:ascii="Constantia" w:hAnsi="Constantia" w:cs="Times New Roman"/>
          <w:b/>
          <w:bCs/>
          <w:color w:val="333399"/>
          <w:sz w:val="26"/>
          <w:szCs w:val="26"/>
          <w:u w:val="single"/>
        </w:rPr>
        <w:t xml:space="preserve">CRITERES DE SELECTION DES CANDIDATS  </w:t>
      </w:r>
    </w:p>
    <w:p w:rsidR="000E65AF" w:rsidRDefault="000E65AF" w:rsidP="000E65AF">
      <w:pPr>
        <w:jc w:val="center"/>
      </w:pPr>
    </w:p>
    <w:p w:rsidR="000E65AF" w:rsidRDefault="000E65AF" w:rsidP="000E65AF">
      <w:pPr>
        <w:spacing w:after="0" w:line="240" w:lineRule="auto"/>
        <w:jc w:val="both"/>
        <w:rPr>
          <w:rFonts w:ascii="Constantia" w:hAnsi="Constantia" w:cs="Times New Roman"/>
          <w:b/>
          <w:bCs/>
          <w:color w:val="333399"/>
          <w:sz w:val="28"/>
          <w:szCs w:val="28"/>
          <w:u w:val="single"/>
        </w:rPr>
      </w:pPr>
      <w:r w:rsidRPr="000E65AF">
        <w:rPr>
          <w:rFonts w:ascii="Constantia" w:hAnsi="Constantia" w:cs="Times New Roman"/>
          <w:b/>
          <w:bCs/>
          <w:color w:val="333399"/>
          <w:sz w:val="28"/>
          <w:szCs w:val="28"/>
          <w:u w:val="single"/>
        </w:rPr>
        <w:t>Processus d’adhésion à l’action transversale</w:t>
      </w:r>
    </w:p>
    <w:p w:rsidR="000E65AF" w:rsidRPr="000E65AF" w:rsidRDefault="000E65AF" w:rsidP="000E65AF">
      <w:pPr>
        <w:spacing w:after="0" w:line="240" w:lineRule="auto"/>
        <w:jc w:val="both"/>
        <w:rPr>
          <w:rFonts w:ascii="Constantia" w:hAnsi="Constantia" w:cs="Times New Roman"/>
          <w:b/>
          <w:bCs/>
          <w:color w:val="333399"/>
          <w:sz w:val="16"/>
          <w:szCs w:val="16"/>
          <w:u w:val="single"/>
        </w:rPr>
      </w:pPr>
      <w:r w:rsidRPr="000E65AF">
        <w:rPr>
          <w:rFonts w:ascii="Constantia" w:hAnsi="Constantia" w:cs="Times New Roman"/>
          <w:b/>
          <w:bCs/>
          <w:color w:val="333399"/>
          <w:sz w:val="28"/>
          <w:szCs w:val="28"/>
          <w:u w:val="single"/>
        </w:rPr>
        <w:t xml:space="preserve">  </w:t>
      </w:r>
    </w:p>
    <w:p w:rsidR="000E65AF" w:rsidRPr="000E65AF" w:rsidRDefault="000E65AF" w:rsidP="000E65AF">
      <w:pPr>
        <w:spacing w:after="0" w:line="276" w:lineRule="auto"/>
        <w:jc w:val="both"/>
        <w:rPr>
          <w:rFonts w:ascii="Constantia" w:hAnsi="Constantia" w:cs="Times New Roman"/>
          <w:b/>
          <w:bCs/>
          <w:color w:val="0000CC"/>
          <w:sz w:val="24"/>
          <w:szCs w:val="24"/>
        </w:rPr>
      </w:pPr>
      <w:r w:rsidRPr="000E65AF">
        <w:rPr>
          <w:rFonts w:ascii="Constantia" w:hAnsi="Constantia" w:cs="Times New Roman"/>
          <w:b/>
          <w:bCs/>
          <w:color w:val="0000CC"/>
          <w:sz w:val="24"/>
          <w:szCs w:val="24"/>
        </w:rPr>
        <w:t>1- Dépôt des candidatures avant la date limite fixée</w:t>
      </w:r>
    </w:p>
    <w:p w:rsidR="000E65AF" w:rsidRPr="000E65AF" w:rsidRDefault="000E65AF" w:rsidP="000E65AF">
      <w:pPr>
        <w:spacing w:after="0" w:line="276" w:lineRule="auto"/>
        <w:jc w:val="both"/>
        <w:rPr>
          <w:rFonts w:ascii="Constantia" w:hAnsi="Constantia" w:cs="Times New Roman"/>
          <w:b/>
          <w:bCs/>
          <w:color w:val="0000CC"/>
          <w:sz w:val="24"/>
          <w:szCs w:val="24"/>
        </w:rPr>
      </w:pPr>
      <w:r w:rsidRPr="000E65AF">
        <w:rPr>
          <w:rFonts w:ascii="Constantia" w:hAnsi="Constantia" w:cs="Times New Roman"/>
          <w:b/>
          <w:bCs/>
          <w:color w:val="0000CC"/>
          <w:sz w:val="24"/>
          <w:szCs w:val="24"/>
        </w:rPr>
        <w:t>2- Processus de Sélection des candidats</w:t>
      </w:r>
    </w:p>
    <w:p w:rsidR="000E65AF" w:rsidRPr="000E65AF" w:rsidRDefault="000E65AF" w:rsidP="000E65AF">
      <w:pPr>
        <w:numPr>
          <w:ilvl w:val="0"/>
          <w:numId w:val="1"/>
        </w:numPr>
        <w:spacing w:after="0" w:line="276" w:lineRule="auto"/>
        <w:contextualSpacing/>
        <w:jc w:val="both"/>
        <w:rPr>
          <w:rFonts w:ascii="Constantia" w:hAnsi="Constantia"/>
          <w:color w:val="002060"/>
          <w:sz w:val="24"/>
          <w:szCs w:val="24"/>
        </w:rPr>
      </w:pPr>
      <w:r w:rsidRPr="000E65AF">
        <w:rPr>
          <w:rFonts w:ascii="Constantia" w:hAnsi="Constantia"/>
          <w:color w:val="002060"/>
          <w:sz w:val="24"/>
          <w:szCs w:val="24"/>
        </w:rPr>
        <w:t xml:space="preserve">Vérification de l’éligibilité de l’entreprise </w:t>
      </w:r>
    </w:p>
    <w:p w:rsidR="000E65AF" w:rsidRDefault="000E65AF" w:rsidP="007F4670">
      <w:pPr>
        <w:numPr>
          <w:ilvl w:val="0"/>
          <w:numId w:val="1"/>
        </w:numPr>
        <w:spacing w:after="0" w:line="276" w:lineRule="auto"/>
        <w:contextualSpacing/>
        <w:jc w:val="both"/>
        <w:rPr>
          <w:rFonts w:ascii="Constantia" w:hAnsi="Constantia"/>
          <w:color w:val="002060"/>
          <w:sz w:val="24"/>
          <w:szCs w:val="24"/>
        </w:rPr>
      </w:pPr>
      <w:bookmarkStart w:id="0" w:name="_GoBack"/>
      <w:bookmarkEnd w:id="0"/>
      <w:r w:rsidRPr="000E65AF">
        <w:rPr>
          <w:rFonts w:ascii="Constantia" w:hAnsi="Constantia"/>
          <w:color w:val="002060"/>
          <w:sz w:val="24"/>
          <w:szCs w:val="24"/>
        </w:rPr>
        <w:t xml:space="preserve">Annonce des résultats : Sélection ou non de l’entreprise (dans les </w:t>
      </w:r>
      <w:r w:rsidR="007F4670">
        <w:rPr>
          <w:rFonts w:ascii="Constantia" w:hAnsi="Constantia"/>
          <w:color w:val="002060"/>
          <w:sz w:val="24"/>
          <w:szCs w:val="24"/>
        </w:rPr>
        <w:t>24</w:t>
      </w:r>
      <w:r w:rsidRPr="000E65AF">
        <w:rPr>
          <w:rFonts w:ascii="Constantia" w:hAnsi="Constantia"/>
          <w:color w:val="002060"/>
          <w:sz w:val="24"/>
          <w:szCs w:val="24"/>
        </w:rPr>
        <w:t xml:space="preserve"> </w:t>
      </w:r>
      <w:r w:rsidR="007F4670">
        <w:rPr>
          <w:rFonts w:ascii="Constantia" w:hAnsi="Constantia"/>
          <w:color w:val="002060"/>
          <w:sz w:val="24"/>
          <w:szCs w:val="24"/>
        </w:rPr>
        <w:t xml:space="preserve">heures qui </w:t>
      </w:r>
      <w:r w:rsidRPr="000E65AF">
        <w:rPr>
          <w:rFonts w:ascii="Constantia" w:hAnsi="Constantia"/>
          <w:color w:val="002060"/>
          <w:sz w:val="24"/>
          <w:szCs w:val="24"/>
        </w:rPr>
        <w:t xml:space="preserve">suivent la date limite de la remise des candidatures)  </w:t>
      </w:r>
    </w:p>
    <w:p w:rsidR="000E65AF" w:rsidRPr="000E65AF" w:rsidRDefault="000E65AF" w:rsidP="000E65AF">
      <w:pPr>
        <w:spacing w:after="0" w:line="276" w:lineRule="auto"/>
        <w:ind w:left="284"/>
        <w:contextualSpacing/>
        <w:jc w:val="both"/>
        <w:rPr>
          <w:rFonts w:ascii="Constantia" w:hAnsi="Constantia"/>
          <w:color w:val="002060"/>
          <w:sz w:val="24"/>
          <w:szCs w:val="24"/>
        </w:rPr>
      </w:pPr>
      <w:r w:rsidRPr="000E65AF">
        <w:rPr>
          <w:rFonts w:ascii="Constantia" w:hAnsi="Constantia"/>
          <w:color w:val="002060"/>
          <w:sz w:val="24"/>
          <w:szCs w:val="24"/>
        </w:rPr>
        <w:t xml:space="preserve">  </w:t>
      </w:r>
    </w:p>
    <w:p w:rsidR="000E65AF" w:rsidRDefault="000E65AF" w:rsidP="000E65AF">
      <w:pPr>
        <w:spacing w:after="0" w:line="240" w:lineRule="auto"/>
        <w:jc w:val="both"/>
        <w:rPr>
          <w:rFonts w:ascii="Constantia" w:hAnsi="Constantia" w:cs="Times New Roman"/>
          <w:b/>
          <w:bCs/>
          <w:color w:val="333399"/>
          <w:sz w:val="28"/>
          <w:szCs w:val="28"/>
          <w:u w:val="single"/>
        </w:rPr>
      </w:pPr>
      <w:r w:rsidRPr="000E65AF">
        <w:rPr>
          <w:rFonts w:ascii="Constantia" w:hAnsi="Constantia" w:cs="Times New Roman"/>
          <w:b/>
          <w:bCs/>
          <w:color w:val="333399"/>
          <w:sz w:val="28"/>
          <w:szCs w:val="28"/>
          <w:u w:val="single"/>
        </w:rPr>
        <w:t>Critères d’éligibilité</w:t>
      </w:r>
    </w:p>
    <w:p w:rsidR="000E65AF" w:rsidRPr="000E65AF" w:rsidRDefault="000E65AF" w:rsidP="000E65AF">
      <w:pPr>
        <w:spacing w:after="0" w:line="240" w:lineRule="auto"/>
        <w:jc w:val="both"/>
        <w:rPr>
          <w:rFonts w:ascii="Constantia" w:hAnsi="Constantia" w:cs="Times New Roman"/>
          <w:b/>
          <w:bCs/>
          <w:color w:val="333399"/>
          <w:sz w:val="28"/>
          <w:szCs w:val="28"/>
          <w:u w:val="single"/>
        </w:rPr>
      </w:pPr>
      <w:r w:rsidRPr="000E65AF">
        <w:rPr>
          <w:rFonts w:ascii="Constantia" w:hAnsi="Constantia" w:cs="Times New Roman"/>
          <w:b/>
          <w:bCs/>
          <w:color w:val="333399"/>
          <w:sz w:val="28"/>
          <w:szCs w:val="28"/>
          <w:u w:val="single"/>
        </w:rPr>
        <w:t xml:space="preserve">  </w:t>
      </w:r>
    </w:p>
    <w:p w:rsidR="000E65AF" w:rsidRPr="000E65AF" w:rsidRDefault="000E65AF" w:rsidP="000E65AF">
      <w:pPr>
        <w:spacing w:after="0" w:line="240" w:lineRule="auto"/>
        <w:jc w:val="both"/>
        <w:rPr>
          <w:rFonts w:ascii="Constantia" w:hAnsi="Constantia" w:cs="Times New Roman"/>
          <w:bCs/>
          <w:color w:val="002060"/>
          <w:sz w:val="24"/>
          <w:szCs w:val="24"/>
        </w:rPr>
      </w:pPr>
      <w:r w:rsidRPr="000E65AF">
        <w:rPr>
          <w:rFonts w:ascii="Constantia" w:hAnsi="Constantia" w:cs="Times New Roman"/>
          <w:bCs/>
          <w:color w:val="002060"/>
          <w:sz w:val="24"/>
          <w:szCs w:val="24"/>
        </w:rPr>
        <w:t>Cet appel à candidature concerne les entreprises qui ne sont pas déjà inscrites dans le projet et qui réunissent les critères suivants :</w:t>
      </w:r>
    </w:p>
    <w:p w:rsidR="000E65AF" w:rsidRPr="000E65AF" w:rsidRDefault="000E65AF" w:rsidP="000E65AF">
      <w:pPr>
        <w:spacing w:after="0" w:line="240" w:lineRule="auto"/>
        <w:jc w:val="both"/>
        <w:rPr>
          <w:rFonts w:ascii="Constantia" w:hAnsi="Constantia" w:cs="Times New Roman"/>
          <w:bCs/>
          <w:color w:val="002060"/>
          <w:sz w:val="24"/>
          <w:szCs w:val="24"/>
        </w:rPr>
      </w:pPr>
    </w:p>
    <w:p w:rsidR="000E65AF" w:rsidRPr="000E65AF" w:rsidRDefault="000E65AF" w:rsidP="000E65AF">
      <w:pPr>
        <w:numPr>
          <w:ilvl w:val="0"/>
          <w:numId w:val="2"/>
        </w:numPr>
        <w:spacing w:after="0" w:line="240" w:lineRule="auto"/>
        <w:ind w:left="426" w:hanging="426"/>
        <w:contextualSpacing/>
        <w:jc w:val="both"/>
        <w:rPr>
          <w:rFonts w:ascii="Constantia" w:hAnsi="Constantia"/>
          <w:bCs/>
          <w:color w:val="002060"/>
          <w:sz w:val="24"/>
          <w:szCs w:val="24"/>
        </w:rPr>
      </w:pPr>
      <w:r w:rsidRPr="000E65AF">
        <w:rPr>
          <w:rFonts w:ascii="Constantia" w:hAnsi="Constantia"/>
          <w:bCs/>
          <w:color w:val="002060"/>
          <w:sz w:val="24"/>
          <w:szCs w:val="24"/>
        </w:rPr>
        <w:t>Entreprise industrielle ayant agrément à l'export pour les conditionneurs des dattes.</w:t>
      </w:r>
    </w:p>
    <w:p w:rsidR="000E65AF" w:rsidRPr="000E65AF" w:rsidRDefault="000E65AF" w:rsidP="000E65AF">
      <w:pPr>
        <w:numPr>
          <w:ilvl w:val="0"/>
          <w:numId w:val="2"/>
        </w:numPr>
        <w:spacing w:after="0" w:line="240" w:lineRule="auto"/>
        <w:ind w:left="426" w:hanging="426"/>
        <w:contextualSpacing/>
        <w:jc w:val="both"/>
        <w:rPr>
          <w:rFonts w:ascii="Constantia" w:hAnsi="Constantia"/>
          <w:bCs/>
          <w:color w:val="002060"/>
          <w:sz w:val="24"/>
          <w:szCs w:val="24"/>
        </w:rPr>
      </w:pPr>
      <w:r w:rsidRPr="000E65AF">
        <w:rPr>
          <w:rFonts w:ascii="Constantia" w:hAnsi="Constantia"/>
          <w:bCs/>
          <w:color w:val="002060"/>
          <w:sz w:val="24"/>
          <w:szCs w:val="24"/>
        </w:rPr>
        <w:t xml:space="preserve">Société installée dans la région KEBILI </w:t>
      </w:r>
    </w:p>
    <w:p w:rsidR="000E65AF" w:rsidRPr="000E65AF" w:rsidRDefault="000E65AF" w:rsidP="000E65AF">
      <w:pPr>
        <w:numPr>
          <w:ilvl w:val="0"/>
          <w:numId w:val="2"/>
        </w:numPr>
        <w:spacing w:after="0" w:line="240" w:lineRule="auto"/>
        <w:ind w:left="426" w:hanging="426"/>
        <w:contextualSpacing/>
        <w:jc w:val="both"/>
        <w:rPr>
          <w:rFonts w:ascii="Constantia" w:hAnsi="Constantia"/>
          <w:bCs/>
          <w:color w:val="002060"/>
          <w:sz w:val="24"/>
          <w:szCs w:val="24"/>
        </w:rPr>
      </w:pPr>
      <w:r w:rsidRPr="000E65AF">
        <w:rPr>
          <w:rFonts w:ascii="Constantia" w:hAnsi="Constantia"/>
          <w:bCs/>
          <w:color w:val="002060"/>
          <w:sz w:val="24"/>
          <w:szCs w:val="24"/>
        </w:rPr>
        <w:t>2 ans de création</w:t>
      </w:r>
    </w:p>
    <w:p w:rsidR="000E65AF" w:rsidRPr="000E65AF" w:rsidRDefault="000E65AF" w:rsidP="000E65AF">
      <w:pPr>
        <w:numPr>
          <w:ilvl w:val="0"/>
          <w:numId w:val="2"/>
        </w:numPr>
        <w:spacing w:after="0" w:line="240" w:lineRule="auto"/>
        <w:ind w:left="426" w:hanging="426"/>
        <w:contextualSpacing/>
        <w:jc w:val="both"/>
        <w:rPr>
          <w:rFonts w:ascii="Constantia" w:hAnsi="Constantia"/>
          <w:bCs/>
          <w:color w:val="002060"/>
          <w:sz w:val="24"/>
          <w:szCs w:val="24"/>
        </w:rPr>
      </w:pPr>
      <w:r w:rsidRPr="000E65AF">
        <w:rPr>
          <w:rFonts w:ascii="Constantia" w:hAnsi="Constantia"/>
          <w:bCs/>
          <w:color w:val="002060"/>
          <w:sz w:val="24"/>
          <w:szCs w:val="24"/>
        </w:rPr>
        <w:t>Min 10% du CA à l’export</w:t>
      </w:r>
    </w:p>
    <w:p w:rsidR="000E65AF" w:rsidRPr="000E65AF" w:rsidRDefault="000E65AF" w:rsidP="000E65AF">
      <w:pPr>
        <w:spacing w:after="0" w:line="240" w:lineRule="auto"/>
        <w:jc w:val="both"/>
        <w:rPr>
          <w:rFonts w:ascii="Constantia" w:hAnsi="Constantia" w:cs="Times New Roman"/>
          <w:bCs/>
          <w:color w:val="002060"/>
          <w:sz w:val="16"/>
          <w:szCs w:val="16"/>
        </w:rPr>
      </w:pPr>
    </w:p>
    <w:p w:rsidR="000E65AF" w:rsidRDefault="000E65AF" w:rsidP="000E65AF">
      <w:pPr>
        <w:spacing w:after="0" w:line="240" w:lineRule="auto"/>
        <w:jc w:val="both"/>
        <w:rPr>
          <w:rFonts w:ascii="Constantia" w:hAnsi="Constantia" w:cs="Times New Roman"/>
          <w:b/>
          <w:bCs/>
          <w:color w:val="333399"/>
          <w:sz w:val="28"/>
          <w:szCs w:val="28"/>
        </w:rPr>
      </w:pPr>
      <w:r w:rsidRPr="000E65AF">
        <w:rPr>
          <w:rFonts w:ascii="Constantia" w:hAnsi="Constantia" w:cs="Times New Roman"/>
          <w:b/>
          <w:bCs/>
          <w:color w:val="333399"/>
          <w:sz w:val="28"/>
          <w:szCs w:val="28"/>
        </w:rPr>
        <w:t xml:space="preserve">Entretien avec l’entreprise candidate </w:t>
      </w:r>
    </w:p>
    <w:p w:rsidR="000E65AF" w:rsidRPr="000E65AF" w:rsidRDefault="000E65AF" w:rsidP="000E65AF">
      <w:pPr>
        <w:spacing w:after="0" w:line="240" w:lineRule="auto"/>
        <w:jc w:val="both"/>
        <w:rPr>
          <w:rFonts w:ascii="Constantia" w:hAnsi="Constantia" w:cs="Times New Roman"/>
          <w:b/>
          <w:bCs/>
          <w:color w:val="333399"/>
          <w:sz w:val="16"/>
          <w:szCs w:val="16"/>
        </w:rPr>
      </w:pPr>
    </w:p>
    <w:p w:rsidR="000E65AF" w:rsidRPr="000E65AF" w:rsidRDefault="000E65AF" w:rsidP="000E65AF">
      <w:pPr>
        <w:spacing w:after="0" w:line="276" w:lineRule="auto"/>
        <w:jc w:val="both"/>
        <w:rPr>
          <w:rFonts w:ascii="Constantia" w:hAnsi="Constantia" w:cs="Times New Roman"/>
          <w:color w:val="002060"/>
          <w:sz w:val="24"/>
          <w:szCs w:val="24"/>
        </w:rPr>
      </w:pPr>
      <w:r w:rsidRPr="000E65AF">
        <w:rPr>
          <w:rFonts w:ascii="Constantia" w:hAnsi="Constantia" w:cs="Times New Roman"/>
          <w:color w:val="002060"/>
          <w:sz w:val="24"/>
          <w:szCs w:val="24"/>
        </w:rPr>
        <w:t xml:space="preserve">En cas d’éligibilité, l’entreprise candidate serait appelée pour un entretien avec le porteur de projet ANNOUR FOOD pour une présentation plus détaillée de l’entreprise et ses ambitions pour le marché ciblé du programme. </w:t>
      </w:r>
    </w:p>
    <w:p w:rsidR="000E65AF" w:rsidRPr="000E65AF" w:rsidRDefault="000E65AF" w:rsidP="000E65AF">
      <w:pPr>
        <w:spacing w:after="0" w:line="276" w:lineRule="auto"/>
        <w:jc w:val="both"/>
        <w:rPr>
          <w:rFonts w:ascii="Constantia" w:hAnsi="Constantia" w:cs="Times New Roman"/>
          <w:color w:val="002060"/>
          <w:sz w:val="24"/>
          <w:szCs w:val="24"/>
        </w:rPr>
      </w:pPr>
      <w:r w:rsidRPr="000E65AF">
        <w:rPr>
          <w:rFonts w:ascii="Constantia" w:hAnsi="Constantia" w:cs="Times New Roman"/>
          <w:color w:val="002060"/>
          <w:sz w:val="24"/>
          <w:szCs w:val="24"/>
        </w:rPr>
        <w:t>L’entreprise candidate devra également démontrer sa compréhension du projet et ses ambitions et assurer aux initiateurs du projet sa volonté et sa capacité à l’intégrer.</w:t>
      </w:r>
    </w:p>
    <w:p w:rsidR="000E65AF" w:rsidRDefault="000E65AF" w:rsidP="000E65AF">
      <w:pPr>
        <w:spacing w:after="0" w:line="276" w:lineRule="auto"/>
        <w:jc w:val="both"/>
        <w:rPr>
          <w:rFonts w:ascii="Constantia" w:hAnsi="Constantia" w:cs="Times New Roman"/>
          <w:color w:val="002060"/>
          <w:sz w:val="24"/>
          <w:szCs w:val="24"/>
        </w:rPr>
      </w:pPr>
      <w:r w:rsidRPr="000E65AF">
        <w:rPr>
          <w:rFonts w:ascii="Constantia" w:hAnsi="Constantia" w:cs="Times New Roman"/>
          <w:color w:val="002060"/>
          <w:sz w:val="24"/>
          <w:szCs w:val="24"/>
        </w:rPr>
        <w:t>Le Fonds TASDIR+ et le porteur de projet ANNOUR FOOD devant s’assurer de la prédisposition des candidats à intégrer le programme pour sa bonne mise en œuvre et sa réussite.</w:t>
      </w:r>
    </w:p>
    <w:p w:rsidR="000E65AF" w:rsidRPr="000E65AF" w:rsidRDefault="000E65AF" w:rsidP="000E65AF">
      <w:pPr>
        <w:spacing w:after="0" w:line="240" w:lineRule="auto"/>
        <w:jc w:val="both"/>
        <w:rPr>
          <w:rFonts w:ascii="Constantia" w:hAnsi="Constantia" w:cs="Times New Roman"/>
          <w:color w:val="002060"/>
          <w:sz w:val="24"/>
          <w:szCs w:val="24"/>
        </w:rPr>
      </w:pPr>
      <w:r w:rsidRPr="000E65AF">
        <w:rPr>
          <w:rFonts w:ascii="Constantia" w:hAnsi="Constantia" w:cs="Times New Roman"/>
          <w:color w:val="002060"/>
          <w:sz w:val="24"/>
          <w:szCs w:val="24"/>
        </w:rPr>
        <w:t xml:space="preserve">    </w:t>
      </w:r>
    </w:p>
    <w:p w:rsidR="000E65AF" w:rsidRPr="000E65AF" w:rsidRDefault="000E65AF" w:rsidP="000E65AF">
      <w:pPr>
        <w:spacing w:after="0" w:line="240" w:lineRule="auto"/>
        <w:jc w:val="both"/>
        <w:rPr>
          <w:rFonts w:ascii="Constantia" w:hAnsi="Constantia" w:cs="Times New Roman"/>
          <w:b/>
          <w:bCs/>
          <w:color w:val="333399"/>
          <w:sz w:val="28"/>
          <w:szCs w:val="28"/>
        </w:rPr>
      </w:pPr>
      <w:r w:rsidRPr="000E65AF">
        <w:rPr>
          <w:rFonts w:ascii="Constantia" w:hAnsi="Constantia" w:cs="Times New Roman"/>
          <w:b/>
          <w:bCs/>
          <w:color w:val="333399"/>
          <w:sz w:val="28"/>
          <w:szCs w:val="28"/>
        </w:rPr>
        <w:t>Sélection des entreprises</w:t>
      </w:r>
    </w:p>
    <w:p w:rsidR="00A109ED" w:rsidRPr="000E65AF" w:rsidRDefault="000E65AF" w:rsidP="000E65AF">
      <w:pPr>
        <w:spacing w:after="0" w:line="240" w:lineRule="auto"/>
        <w:jc w:val="both"/>
      </w:pPr>
      <w:r w:rsidRPr="000E65AF">
        <w:rPr>
          <w:rFonts w:ascii="Constantia" w:hAnsi="Constantia" w:cs="Times New Roman"/>
          <w:color w:val="002060"/>
          <w:sz w:val="24"/>
          <w:szCs w:val="24"/>
        </w:rPr>
        <w:t xml:space="preserve">Les entreprises qui répondent aux critères d’éligibilité et qui justifient leur volonté, possibilité et capacité d’intégrer le projet seront sélectionnées.   </w:t>
      </w:r>
    </w:p>
    <w:sectPr w:rsidR="00A109ED" w:rsidRPr="000E65AF" w:rsidSect="000E65A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97F09"/>
    <w:multiLevelType w:val="hybridMultilevel"/>
    <w:tmpl w:val="281AC5F0"/>
    <w:lvl w:ilvl="0" w:tplc="1FAEB006">
      <w:start w:val="1"/>
      <w:numFmt w:val="decimal"/>
      <w:lvlText w:val="%1."/>
      <w:lvlJc w:val="left"/>
      <w:pPr>
        <w:ind w:left="720" w:hanging="360"/>
      </w:pPr>
      <w:rPr>
        <w:b/>
        <w:bCs w:val="0"/>
        <w:color w:val="0000C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CE5172"/>
    <w:multiLevelType w:val="hybridMultilevel"/>
    <w:tmpl w:val="95FC47E8"/>
    <w:lvl w:ilvl="0" w:tplc="09489378">
      <w:start w:val="1"/>
      <w:numFmt w:val="bullet"/>
      <w:lvlText w:val=""/>
      <w:lvlJc w:val="left"/>
      <w:pPr>
        <w:ind w:left="644" w:hanging="360"/>
      </w:pPr>
      <w:rPr>
        <w:rFonts w:ascii="Wingdings" w:hAnsi="Wingdings" w:hint="default"/>
        <w:color w:val="0000CC"/>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AF"/>
    <w:rsid w:val="000E65AF"/>
    <w:rsid w:val="007F4670"/>
    <w:rsid w:val="00A10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8FE43-7222-4EDD-A540-C60202DE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425C4.C88C69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RIADH BEZZARGA</dc:creator>
  <cp:keywords/>
  <dc:description/>
  <cp:lastModifiedBy>RIADH BEZZARGA</cp:lastModifiedBy>
  <cp:revision>2</cp:revision>
  <dcterms:created xsi:type="dcterms:W3CDTF">2019-12-16T10:59:00Z</dcterms:created>
  <dcterms:modified xsi:type="dcterms:W3CDTF">2019-12-16T11:41:00Z</dcterms:modified>
</cp:coreProperties>
</file>